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SächsFischVO (Sachsen) — Inkrafttreten, Außerkrafttreten</w:t>
      </w:r>
    </w:p>
    <w:p>
      <w:r>
        <w:rPr>
          <w:color w:val="555555"/>
          <w:sz w:val="18"/>
        </w:rPr>
        <w:t xml:space="preserve">Sächsische Fischereiverordnung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Sächsische Fischereiverordnung vom 4. Juli 2013 (SächsGVBl. S. 569), die durch Artikel 3 Absatz 8 der Verordnung vom 5. April 2019 (SächsGVBl. S. 245) geändert worden ist, außer Kraft.</w:t>
      </w:r>
    </w:p>
    <w:p>
      <w:r>
        <w:t xml:space="preserve">Dresden, den 22. April 2022</w:t>
      </w:r>
    </w:p>
    <w:p>
      <w:r>
        <w:t xml:space="preserve">Der Staatsminister für Energie, Klimaschutz, Umwelt und Landwirtschaft</w:t>
      </w:r>
    </w:p>
    <w:p>
      <w:r>
        <w:t xml:space="preserve">Wolfram Günther</w:t>
      </w:r>
    </w:p>
    <w:p>
      <w:r>
        <w:rPr>
          <w:color w:val="555555"/>
          <w:sz w:val="17"/>
        </w:rPr>
        <w:t xml:space="preserve">Zitiervorschlag: § 39 SächsFischVO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https://recht.nulegal.eu/gesetze/S%C3%A4chsFischVO/39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