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SächsFischVO (Sachsen) — Übersicht über die Ausgabe der Erlaubnisscheine</w:t>
      </w:r>
    </w:p>
    <w:p>
      <w:r>
        <w:rPr>
          <w:color w:val="555555"/>
          <w:sz w:val="18"/>
        </w:rPr>
        <w:t xml:space="preserve">Sächsische Fischereiverordnung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Fischereiausübungsberechtigten sind verpflichtet, eine Übersicht über die ausgegebenen Erlaubnisscheine zu führen. In die Übersicht sind einzutragen:</w:t>
      </w:r>
    </w:p>
    <w:p>
      <w:r>
        <w:t xml:space="preserve">1. die laufende Nummer des Erlaubnisscheins,</w:t>
      </w:r>
    </w:p>
    <w:p>
      <w:r>
        <w:t xml:space="preserve">2. der Name der erlaubnisberechtigten Person,</w:t>
      </w:r>
    </w:p>
    <w:p>
      <w:r>
        <w:t xml:space="preserve">3. der Tag der Ausstellung und die Gültigkeitsdauer,</w:t>
      </w:r>
    </w:p>
    <w:p>
      <w:r>
        <w:t xml:space="preserve">4. die Bezeichnung des Gewässers oder der Gewässerstrecke, auf die sich die Gestattung bezieht, und</w:t>
      </w:r>
    </w:p>
    <w:p>
      <w:r>
        <w:t xml:space="preserve">5. die Angaben über die Art der Gestattung nach § 19 Absatz 1 Satz 2 des Sächsischen Fischereigesetzes , Mengenbeschränkungen und Abweichungen von Schonzeiten oder Schonmaßen, die über § 2 hinausgehen.</w:t>
      </w:r>
    </w:p>
    <w:p>
      <w:r>
        <w:t xml:space="preserve">(2) Die Pflicht nach Absatz 1 gilt als erfüllt, indem Vervielfältigungen aller Erlaubnisscheine aufbewahrt werden.</w:t>
      </w:r>
    </w:p>
    <w:p>
      <w:r>
        <w:t xml:space="preserve">(3) Die Übersicht nach Absatz 1 oder die Vervielfältigungen nach Absatz 2 sind nach Ablauf der Gültigkeit der betroffenen Erlaubnisscheine ein Jahr aufzubewahren und der Fischereibehörde auf Verlangen vorzulegen.</w:t>
      </w:r>
    </w:p>
    <w:p>
      <w:r>
        <w:rPr>
          <w:color w:val="555555"/>
          <w:sz w:val="17"/>
        </w:rPr>
        <w:t xml:space="preserve">Zitiervorschlag: § 33 SächsFischVO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https://recht.nulegal.eu/gesetze/S%C3%A4chsFischVO/33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