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SächsFischVO (Sachsen) — Hegeplan</w:t>
      </w:r>
    </w:p>
    <w:p>
      <w:r>
        <w:rPr>
          <w:color w:val="555555"/>
          <w:sz w:val="18"/>
        </w:rPr>
        <w:t xml:space="preserve">Sächsische Fischereiverordnung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Hegepläne müssen mindestens folgende Angaben enthalten:</w:t>
      </w:r>
    </w:p>
    <w:p>
      <w:r>
        <w:t xml:space="preserve">1. Name der oder des Fischereiausübungsberechtigten,</w:t>
      </w:r>
    </w:p>
    <w:p>
      <w:r>
        <w:t xml:space="preserve">2. Größe und Ausdehnung des Gewässers einschließlich der Bezeichnung,</w:t>
      </w:r>
    </w:p>
    <w:p>
      <w:r>
        <w:t xml:space="preserve">3. fischereiliches Leitbild des Gewässers,</w:t>
      </w:r>
    </w:p>
    <w:p>
      <w:r>
        <w:t xml:space="preserve">4. Hegeziele, insbesondere Erhalt und Entwicklung des Fischbestandes,</w:t>
      </w:r>
    </w:p>
    <w:p>
      <w:r>
        <w:t xml:space="preserve">5. Hegemaßnahmen, insbesondere Art und Umfang des Besatzes, Fang und Schonmaßnahmen sowie</w:t>
      </w:r>
    </w:p>
    <w:p>
      <w:r>
        <w:t xml:space="preserve">6. gegebenenfalls die Beschränkungen für Personen, die einen Erlaubnisschein besitzen, oder innerhalb von Schonbezirken.</w:t>
      </w:r>
    </w:p>
    <w:p>
      <w:r>
        <w:t xml:space="preserve">(2) Die Genehmigung des Hegeplanes gilt als erteilt, wenn sie nicht innerhalb von zwei Monaten nach Eingang von der Fischereibehörde versagt worden ist.</w:t>
      </w:r>
    </w:p>
    <w:p>
      <w:r>
        <w:rPr>
          <w:color w:val="555555"/>
          <w:sz w:val="17"/>
        </w:rPr>
        <w:t xml:space="preserve">Zitiervorschlag: § 3 SächsFischVO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https://recht.nulegal.eu/gesetze/S%C3%A4chsFischVO/3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SächsFischVO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