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SächsFischVO (Sachsen) — Schonzeiten und Mindestmaße</w:t>
      </w:r>
    </w:p>
    <w:p>
      <w:r>
        <w:rPr>
          <w:color w:val="555555"/>
          <w:sz w:val="18"/>
        </w:rPr>
        <w:t xml:space="preserve">Sächsische Fischereiverordnung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geltenden Schonzeiten und Mindestmaße für die Fischarten nach § 4 Nummer 1 des Sächsischen Fischereigesetzes ergeben sich aus der Anlage.</w:t>
      </w:r>
    </w:p>
    <w:p>
      <w:r>
        <w:t xml:space="preserve">(2) Das Maß bildet der Abstand von der Kopfspitze bis zum Ende der natürlich ausgebreiteten Schwanzflosse.</w:t>
      </w:r>
    </w:p>
    <w:p>
      <w:r>
        <w:t xml:space="preserve">(3) Die Fischereibehörde kann aus fischereilichen Gründen, insbesondere zum Laichfischfang, zum Zwecke wissenschaftlicher Forschung oder zum Erhalt des örtlichen Fischbestandes zeitlich und räumlich begrenzt Ausnahmen von Absatz 1 zulassen, sofern Unions- oder Bundesrecht nicht entgegenstehen.</w:t>
      </w:r>
    </w:p>
    <w:p>
      <w:r>
        <w:t xml:space="preserve">(4) Die Fischereibehörde kann zur Umsetzung von Aalbewirtschaftungsplänen durch Allgemeinverfügung zeitlich und räumlich begrenzt</w:t>
      </w:r>
    </w:p>
    <w:p>
      <w:r>
        <w:t xml:space="preserve">1. die Ausübung der Aalfischerei einschränken,</w:t>
      </w:r>
    </w:p>
    <w:p>
      <w:r>
        <w:t xml:space="preserve">2. die Anzahl und Beschaffenheit von Fanggeräten vorschreiben oder</w:t>
      </w:r>
    </w:p>
    <w:p>
      <w:r>
        <w:t xml:space="preserve">3. den Aalfang an bestimmten Gewässern ganz oder teilweise untersagen.</w:t>
      </w:r>
    </w:p>
    <w:p>
      <w:r>
        <w:t xml:space="preserve">(5) Zahmes Wassergeflügel darf nicht in Gewässer eingelassen werden. Auf Antrag lässt die Fischereibehörde Ausnahmen zu, wenn der Fischbestand nicht geschädigt wird.</w:t>
      </w:r>
    </w:p>
    <w:p>
      <w:r>
        <w:t xml:space="preserve">(6) Die Fischereibehörde kann zum Schutz der Populationen der Äsche durch Allgemeinverfügung zeitlich und räumlich begrenzt Schutzmaßnahmen an Gewässern und Ufergrundstücken oder Teilen davon festlegen.</w:t>
      </w:r>
    </w:p>
    <w:p>
      <w:r>
        <w:rPr>
          <w:color w:val="555555"/>
          <w:sz w:val="17"/>
        </w:rPr>
        <w:t xml:space="preserve">Zitiervorschlag: § 2 SächsFischVO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