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SächsFischG (Sachsen) — Fischereirechte in Nebengewässern</w:t>
      </w:r>
    </w:p>
    <w:p>
      <w:r>
        <w:rPr>
          <w:color w:val="555555"/>
          <w:sz w:val="18"/>
        </w:rPr>
        <w:t xml:space="preserve">Sächsisches Fischereigesetz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Nebengewässern steht den Inhabern der Fischereirechte am Hauptgewässer das Fischereirecht im Verhältnis der Fläche und entsprechend der räumlichen Lage ihrer Fischereirechte zu.</w:t>
      </w:r>
    </w:p>
    <w:p>
      <w:r>
        <w:rPr>
          <w:color w:val="555555"/>
          <w:sz w:val="17"/>
        </w:rPr>
        <w:t xml:space="preserve">Zitiervorschlag: § 6 SächsFischG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https://recht.nulegal.eu/gesetze/S%C3%A4chsFischG/6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SächsFischG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