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SächsFischG (Sachsen) — Grundsätze</w:t>
      </w:r>
    </w:p>
    <w:p>
      <w:r>
        <w:rPr>
          <w:color w:val="555555"/>
          <w:sz w:val="18"/>
        </w:rPr>
        <w:t xml:space="preserve">Sächsisches Fischereigesetz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Fischerei darf nur nach den Grundsätzen der guten fachlichen Praxis ausgeübt werden.</w:t>
      </w:r>
    </w:p>
    <w:p>
      <w:r>
        <w:t xml:space="preserve">(2) Bei der Ausübung der Fischerei sind Gewässer einschließlich ihrer Uferzonen als Lebensstätten und Lebensräume für einheimische Tier- und Pflanzenarten zu erhalten und zu fördern. In Nationalparks, Biosphärenreservaten, Naturschutzgebieten und flächenhaften Naturdenkmalen sind der durch Rechtsverordnung festgelegte Schutzzweck und in Natura 2000-Gebieten die Erhaltungsziele zu beachten.</w:t>
      </w:r>
    </w:p>
    <w:p>
      <w:r>
        <w:t xml:space="preserve">(3) Die Fischerei an Fließgewässern auf weniger als zwei Kilometern zusammenhängender Fließstrecke und an Standgewässern in ihrer gesamten Ausdehnung darf nur gemeinschaftlich ausgeübt werden.</w:t>
      </w:r>
    </w:p>
    <w:p>
      <w:r>
        <w:rPr>
          <w:color w:val="555555"/>
          <w:sz w:val="17"/>
        </w:rPr>
        <w:t xml:space="preserve">Zitiervorschlag: § 10 SächsFischG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https://recht.nulegal.eu/gesetze/S%C3%A4chsFischG/10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SächsFischG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