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SächsFischG (Sachsen) — Zweck des Gesetzes</w:t>
      </w:r>
    </w:p>
    <w:p>
      <w:r>
        <w:rPr>
          <w:color w:val="555555"/>
          <w:sz w:val="18"/>
        </w:rPr>
        <w:t xml:space="preserve">Sächsisches Fischereigesetz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Gleichrangige Zwecke dieses Gesetzes sind</w:t>
      </w:r>
    </w:p>
    <w:p>
      <w:r>
        <w:t xml:space="preserve">1. die Förderung der nachhaltigen Nutzung der Gewässer durch die Fischerei und</w:t>
      </w:r>
    </w:p>
    <w:p>
      <w:r>
        <w:t xml:space="preserve">2. der Schutz, die Erhaltung und die Entwicklung der im Wasser, einschließlich der Uferzonen, lebenden Tier- und Pflanzenwelt.</w:t>
      </w:r>
    </w:p>
    <w:p>
      <w:r>
        <w:t xml:space="preserve">(2) Die Ausübung der Fischerei nach den Regeln der guten fachlichen Praxis dient der Erreichung der Zwecke des Absatzes 1.</w:t>
      </w:r>
    </w:p>
    <w:p>
      <w:r>
        <w:rPr>
          <w:color w:val="555555"/>
          <w:sz w:val="17"/>
        </w:rPr>
        <w:t xml:space="preserve">Zitiervorschlag: § 1 SächsFischG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https://recht.nulegal.eu/gesetze/S%C3%A4chsFischG/1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