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SächsFeuVO (Sachsen) — Übergangsvorschrift</w:t>
      </w:r>
    </w:p>
    <w:p>
      <w:r>
        <w:rPr>
          <w:color w:val="555555"/>
          <w:sz w:val="18"/>
        </w:rPr>
        <w:t xml:space="preserve">Sächsische Feuerungsverordnung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bestehende Brennstofflagerräume für Holzpellets und für die Lagerung von mehr als 500 kg Holzpellets außerhalb von Brennstofflagerräumen sind die Anforderungen nach § 11 Absatz 5 Satz 1 und 2 ab dem 11. Januar 2022 zu erfüllen.</w:t>
      </w:r>
    </w:p>
    <w:p>
      <w:r>
        <w:rPr>
          <w:color w:val="555555"/>
          <w:sz w:val="17"/>
        </w:rPr>
        <w:t xml:space="preserve">Zitiervorschlag: § 14 SächsFeuVO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https://recht.nulegal.eu/gesetze/S%C3%A4chsFeuVO/14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