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SächsFahrbVO (Sachsen)</w:t>
      </w:r>
    </w:p>
    <w:p>
      <w:r>
        <w:rPr>
          <w:color w:val="555555"/>
          <w:sz w:val="18"/>
        </w:rPr>
        <w:t xml:space="preserve">Sächsische Fahrberechtigungsverordnung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6 Abs. 5 Satz 1 des Straßenverkehrsgesetzes ( StVG ) in der Fassung der Bekanntmachung vom 5. März 2003 (BGBl. I S. 310, 919), das zuletzt durch Artikel 2 des Gesetzes vom 12. Juli 2011 (BGBl. I S. 1378, 1384) geändert worden ist, erlässt die Sächsische Staatsregierung folgende Verordnung:</w:t>
      </w:r>
    </w:p>
    <w:p>
      <w:r>
        <w:rPr>
          <w:color w:val="555555"/>
          <w:sz w:val="17"/>
        </w:rPr>
        <w:t xml:space="preserve">Zitiervorschlag: Eingangsformel SächsFahrbVO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https://recht.nulegal.eu/gesetze/S%C3%A4chsFahrbVO/eingangsformel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SächsFahrbVO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