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SächsFahrbVO (Sachsen) — Erteilung der Fahrberechtigung</w:t>
      </w:r>
    </w:p>
    <w:p>
      <w:r>
        <w:rPr>
          <w:color w:val="555555"/>
          <w:sz w:val="18"/>
        </w:rPr>
        <w:t xml:space="preserve">Sächsische Fahrberechtigungsverordnung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Fahrberechtigung wird durch Aushändigung eines Nachweises nach Anlage 1 erteilt. Der Nachweis ist zusätzlich zum Führerschein vom Berechtigten während der Fahrt mitzuführen und den zur Überwachung des Straßenverkehrs berechtigten Personen auf Verlangen auszuhändigen.</w:t>
      </w:r>
    </w:p>
    <w:p>
      <w:r>
        <w:t xml:space="preserve">(2) Die Fahrberechtigung darf von der zuständigen Behörde nur erteilt werden, wenn der Bewerber</w:t>
      </w:r>
    </w:p>
    <w:p>
      <w:r>
        <w:t xml:space="preserve">1. durch Vorlage des Führerscheins den mindestens zweijährigen Besitz der Fahrerlaubnis der Klasse B nachweist,</w:t>
      </w:r>
    </w:p>
    <w:p>
      <w:r>
        <w:t xml:space="preserve">2. durch Vorlage eines Mitgliedsausweises beziehungsweise einer entsprechenden Bescheinigung nachweist, dass er ehrenamtlicher Angehöriger einer Organisation oder Einrichtung nach § 1 ist und</w:t>
      </w:r>
    </w:p>
    <w:p>
      <w:r>
        <w:t xml:space="preserve">3. durch Vorlage der Einweisungs- und Prüfungsbescheinigung nach Maßgabe der §§ 3 und 4 nachweist, dass er in das Führen von Einsatzfahrzeugen eingewiesen wurde und in einer praktischen Prüfung seine Befähigung zum Führen der Einsatzfahrzeuge nachgewiesen hat.</w:t>
      </w:r>
    </w:p>
    <w:p>
      <w:r>
        <w:t xml:space="preserve">(3) Die zuständige Behörde überprüft, ob Einweisungsberechtigter und Prüfer die Voraussetzungen des § 3 Abs. 2 und § 4 Abs. 2 erfüllen; sie kann eine Auskunft aus dem Verkehrszentralregister einholen.</w:t>
      </w:r>
    </w:p>
    <w:p>
      <w:r>
        <w:t xml:space="preserve">(4) Die zuständige Behörde erhebt für den Vollzug dieser Verordnung Verwaltungskosten nach der Gebührenordnung für Maßnahmen im Straßenverkehr ( GebOSt ) vom 25. Januar 2011 (BGBl. I S. 98), in der jeweils geltenden Fassung.</w:t>
      </w:r>
    </w:p>
    <w:p>
      <w:r>
        <w:rPr>
          <w:color w:val="555555"/>
          <w:sz w:val="17"/>
        </w:rPr>
        <w:t xml:space="preserve">Zitiervorschlag: § 2 SächsFahrbVO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https://recht.nulegal.eu/gesetze/S%C3%A4chsFahrbVO/2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SächsFahrbVO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