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SächsFAG (Sachsen) — Festsetzung der Schlüsselzuweisungen</w:t>
      </w:r>
    </w:p>
    <w:p>
      <w:r>
        <w:rPr>
          <w:color w:val="555555"/>
          <w:sz w:val="18"/>
        </w:rPr>
        <w:t xml:space="preserve">Sächsisches Finanzausgleichsgesetz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Ist die Bedarfsmesszahl (§ 7) höher als die Steuerkraftmesszahl (§ 8), erhält die kreisangehörige Gemeinde 75 Prozent des Unterschiedsbetrages als Schlüsselzuweisung. Beträgt die Summe aus der Schlüsselzuweisung nach Satz 1 und der Steuerkraftmesszahl weniger als 89 Prozent der Bedarfsmesszahl, erhöht sich die Schlüsselzuweisung um 90 Prozent der zu 89 Prozent der Bedarfsmesszahl bestehenden Lücke.</w:t>
      </w:r>
    </w:p>
    <w:p>
      <w:r>
        <w:rPr>
          <w:color w:val="555555"/>
          <w:sz w:val="17"/>
        </w:rPr>
        <w:t xml:space="preserve">Zitiervorschlag: § 9 SächsFAG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https://recht.nulegal.eu/gesetze/S%C3%A4chsFAG/9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