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SächsFAG (Sachsen) — Bedarfsmesszahl</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Bedarfsmesszahl einer kreisangehörigen Gemeinde wird berechnet, indem der Gesamtansatz (Absatz 2) mit dem Grundbetrag (Absatz 6) vervielfältigt wird. Sie wird auf zwei Stellen nach dem Komma gerundet.</w:t>
      </w:r>
    </w:p>
    <w:p>
      <w:r>
        <w:t xml:space="preserve">(2) Der Gesamtansatz wird aus dem Hauptansatz (Absatz 3), dem Schüleransatz (Absatz 4) und dem Ansatz für frühkindliche Bildung (Absatz 5) gebildet.</w:t>
      </w:r>
    </w:p>
    <w:p>
      <w:r>
        <w:t xml:space="preserve">(3) Der Hauptansatz einer Gemeinde wird nach dem für ihre Einwohnerzahl (§ 30) zutreffenden Prozentsatz gemäß der Anlage 1 bestimmt. Liegt die Einwohnerzahl zwischen zwei Stufen gemäß der Anlage 1, so wird der Prozentsatz (Gewichtungsfaktor) durch lineare Interpolation ermittelt; er wird auf zwei Dezimalstellen hinter dem Komma aufgerundet. Die Prozentsätze sind unter Berücksichtigung des durchschnittlichen Finanzbedarfs in den Größenklassen der Gemeinden zu bilden.</w:t>
      </w:r>
    </w:p>
    <w:p>
      <w:r>
        <w:t xml:space="preserve">(4) Der Schüleransatz wird den Gemeinden nach einem Prozentsatz für jede Schülerin und jeden Schüler an Schulen gewährt, deren Träger sie zu Beginn des Haushaltsjahres sind. Schulzweckverbände haben die Schülerzahl auf ihre Mitglieder nach einem von ihnen zu bestimmenden Schlüssel aufzuteilen. Der Ermittlung des Schüleransatzes wird die amtliche Schulstatistik des Schuljahres, in dem das Ausgleichsjahr beginnt, für die allgemeinbildenden (einschließlich Förderschulen) und berufsbildenden Schulen sowie für die Schulen des zweiten Bildungsweges zu Grunde gelegt. Für die Schülerzahlen werden angesetzt die Schülerinnen und Schüler bei</w:t>
      </w:r>
    </w:p>
    <w:p>
      <w:r>
        <w:t xml:space="preserve">Schülerzahlen Lfd. Nr. Schultyp Untergliederung Prozent</w:t>
      </w:r>
    </w:p>
    <w:p>
      <w:r>
        <w:t xml:space="preserve">1. Grundschulen mit 116 Prozent,</w:t>
      </w:r>
    </w:p>
    <w:p>
      <w:r>
        <w:t xml:space="preserve">2. Oberschulen und Abendoberschulen mit 100 Prozent,</w:t>
      </w:r>
    </w:p>
    <w:p>
      <w:r>
        <w:t xml:space="preserve">3. Gymnasien, Abendgymnasien und Kollegs mit 96 Prozent,</w:t>
      </w:r>
    </w:p>
    <w:p>
      <w:r>
        <w:t xml:space="preserve">4. Gemeinschaftsschulen</w:t>
      </w:r>
    </w:p>
    <w:p>
      <w:r>
        <w:t xml:space="preserve">a) der Klassenstufen 1 bis 4 mit 116 Prozent,</w:t>
      </w:r>
    </w:p>
    <w:p>
      <w:r>
        <w:t xml:space="preserve">b) der Klassenstufen 5 bis 10 mit 98 Prozent,</w:t>
      </w:r>
    </w:p>
    <w:p>
      <w:r>
        <w:t xml:space="preserve">c) der Jahrgangsstufen 11 und 12 mit 96 Prozent,</w:t>
      </w:r>
    </w:p>
    <w:p>
      <w:r>
        <w:t xml:space="preserve">5. Berufsschulen, Berufsfachschulen, Fachschulen, Fachoberschulen und Beruflichen Gymnasien (Vollzeit) mit 137 Prozent,</w:t>
      </w:r>
    </w:p>
    <w:p>
      <w:r>
        <w:t xml:space="preserve">6. Berufsschulen, Berufsfachschulen, Fachschulen und Fachoberschulen (Teilzeit) mit 55 Prozent,</w:t>
      </w:r>
    </w:p>
    <w:p>
      <w:r>
        <w:t xml:space="preserve">7. Förderschulen nach dem Förderschwerpunkt der Schülerin oder des Schülers, der primär gefördert wird:</w:t>
      </w:r>
    </w:p>
    <w:p>
      <w:r>
        <w:t xml:space="preserve">a) Lernen mit 207 Prozent,</w:t>
      </w:r>
    </w:p>
    <w:p>
      <w:r>
        <w:t xml:space="preserve">b) geistige Entwicklung mit 451 Prozent,</w:t>
      </w:r>
    </w:p>
    <w:p>
      <w:r>
        <w:t xml:space="preserve">c) emotionale und soziale Entwicklung mit 169 Prozent,</w:t>
      </w:r>
    </w:p>
    <w:p>
      <w:r>
        <w:t xml:space="preserve">d) körperliche und motorische Entwicklung mit 633 Prozent,</w:t>
      </w:r>
    </w:p>
    <w:p>
      <w:r>
        <w:t xml:space="preserve">e) Sehen mit 343 Prozent,</w:t>
      </w:r>
    </w:p>
    <w:p>
      <w:r>
        <w:t xml:space="preserve">f) Hören mit 436 Prozent,</w:t>
      </w:r>
    </w:p>
    <w:p>
      <w:r>
        <w:t xml:space="preserve">g) Sprache mit 99 Prozent,</w:t>
      </w:r>
    </w:p>
    <w:p>
      <w:r>
        <w:t xml:space="preserve">8. Klinik- und Krankenhausschulen mit 58 Prozent.</w:t>
      </w:r>
    </w:p>
    <w:p>
      <w:r>
        <w:t xml:space="preserve">Für die Schülerzahlen der Oberschulen+ gemäß § 6 Absatz 6 des Sächsischen Schulgesetzes in der Fassung der Bekanntmachung vom 27. September 2018 (SächsGVBl. S. 648), das zuletzt durch Artikel 17 des Gesetzes vom 21. Mai 2021 (SächsGVBl. S. 578) geändert worden ist, werden deren Schülerinnen und Schüler der Klassenstufen 1 bis 4 wie die Schülerinnen und Schüler an Grundschulen sowie der Klassenstufen 5 bis 10 wie die Schülerinnen und Schüler an Oberschulen angesetzt. Bei im Rahmen von Schulversuchen gemäß § 15 des Sächsischen Schulgesetzes , in der jeweils geltenden Fassung, geführten Schulen werden deren Schülerinnen und Schüler nach Satz 4 wie Schülerinnen und Schüler der jeweiligen Schulart angesetzt. Bei Inklusionsmaßnahmen von Schülerinnen und Schülern mit sonderpädagogischem Förderbedarf in allgemeinbildenden und berufsbildenden Schulen werden die Schülerinnen und Schüler bei inklusivem Unterricht wie Schülerinnen und Schüler von Förderschulen nach dem Förderschwerpunkt, der primär gefördert wird, angesetzt. Satz 7 gilt nicht für Schüler an Schulen mit dem Förderschwerpunkt Sprache. Diese werden bei inklusivem Unterricht wie Schülerinnen und Schüler der jeweiligen Schule gezählt. Schülerinnen und Schüler mit sonderpädagogischem Förderbedarf (Satz 4 Nummer 7) mit Mehrfachbehinderungen werden mit dem Schüleransatz angesetzt, der dem primär geförderten Förderschwerpunkt entspricht. Schülerinnen und Schüler ohne sonderpädagogischen Förderbedarf, die eine Schule nach Satz 4 Nummer 7 besuchen, werden wie Schülerinnen und Schüler der jeweiligen Schulart nach den Nummern 1 bis 6 angesetzt. Die Sätze 1 bis 11 gelten nicht, wenn die oberste Schulaufsichtsbehörde gemäß § 24 Absatz 3 Satz 2 des Sächsischen Schulgesetzes festgestellt hat, dass das öffentliche Bedürfnis für die Fortführung der Schule oder eines Teils derselben nicht mehr besteht und die Mitwirkung des Freistaates Sachsen an der Unterhaltung der Schule bestandskräftig widerrufen worden ist. Die Sätze 1 bis 11 gelten weiterhin nicht für die Schülerinnen und Schüler an den in § 2 des Sächsischen Mehrbelastungsausgleichsgesetzes 2008 vom 29. Januar 2008 (SächsGVBl. S. 138, 144), das zuletzt durch Artikel 3 des Gesetzes vom 15. Dezember 2016 (SächsGVBl. S. 639) geändert worden ist, in der jeweils geltenden Fassung, genannten Schulen. Der Schüleransatz beträgt 231 Prozent der Schülerzahlen nach den Sätzen 4 bis 13.</w:t>
      </w:r>
    </w:p>
    <w:p>
      <w:r>
        <w:t xml:space="preserve">(5) Der Ansatz für frühkindliche Bildung wird den Gemeinden nach einem Prozentsatz für jedes Kind gewährt, welches gemäß § 30 bei der Bestimmung der Einwohnerzahl der Gemeinde zu berücksichtigen ist. Für die Kinderzahlen werden angesetzt die Kinder</w:t>
      </w:r>
    </w:p>
    <w:p>
      <w:r>
        <w:t xml:space="preserve">frühkindliche Bildung Lfd. Nr. Alter Prozent</w:t>
      </w:r>
    </w:p>
    <w:p>
      <w:r>
        <w:t xml:space="preserve">1. unter drei Jahren mit 158 Prozent,</w:t>
      </w:r>
    </w:p>
    <w:p>
      <w:r>
        <w:t xml:space="preserve">2. von drei bis unter sechs Jahren mit 95 Prozent,</w:t>
      </w:r>
    </w:p>
    <w:p>
      <w:r>
        <w:t xml:space="preserve">3. von sechs bis unter elf Jahren mit 37 Prozent.</w:t>
      </w:r>
    </w:p>
    <w:p>
      <w:r>
        <w:t xml:space="preserve">Der Ansatz für frühkindliche Bildung beträgt 249 Prozent der Kinderzahlen nach Satz 2.</w:t>
      </w:r>
    </w:p>
    <w:p>
      <w:r>
        <w:t xml:space="preserve">(6) Der Grundbetrag ist ein durch Näherung bestimmter Wert, der so festzusetzen ist, dass die Schlüsselmasse soweit wie rechnerisch möglich aufgebraucht wird. Der Grundbetrag wird zusammen für allgemeine Schlüsselzuweisungen nach § 5 sowie zweckgebundene Schlüsselzuweisungen für Investitionen und Instandsetzungen nach § 15 berechnet und auf zwei Stellen nach dem Komma abgerundet festgesetzt.</w:t>
      </w:r>
    </w:p>
    <w:p>
      <w:r>
        <w:rPr>
          <w:color w:val="555555"/>
          <w:sz w:val="17"/>
        </w:rPr>
        <w:t xml:space="preserve">Zitiervorschlag: § 7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