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SächsFAG (Sachsen) — Grundsätze</w:t>
      </w:r>
    </w:p>
    <w:p>
      <w:r>
        <w:rPr>
          <w:color w:val="555555"/>
          <w:sz w:val="18"/>
        </w:rPr>
        <w:t xml:space="preserve">Sächsisches Finanzausgleichsgesetz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Kreisangehörige Gemeinden, Kreisfreie Städte und Landkreise erhalten nach § 4 Absatz 5 Satz 1 Nummer 1 allgemeine Schlüsselzuweisungen zur Ergänzung ihrer sonstigen Einzahlungen. Allgemeine Schlüsselzuweisungen an die kreisangehörigen Gemeinden, Kreisfreien Städte und Landkreise sind Schlüsselzuweisungen nach mangelnder Steuer- und Umlagekraft. Sie dienen der Deckung des allgemeinen Finanzbedarfs. Mit den allgemeinen Schlüsselzuweisungen sind alle Lasten ausgeglichen, soweit nichts anderes bestimmt ist.</w:t>
      </w:r>
    </w:p>
    <w:p>
      <w:r>
        <w:rPr>
          <w:color w:val="555555"/>
          <w:sz w:val="17"/>
        </w:rPr>
        <w:t xml:space="preserve">Zitiervorschlag: § 5 SächsFAG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SächsFAG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