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SächsFAG (Sachsen) — Beirat für den kommunalen Finanzausgleich</w:t>
      </w:r>
    </w:p>
    <w:p>
      <w:r>
        <w:rPr>
          <w:color w:val="555555"/>
          <w:sz w:val="18"/>
        </w:rPr>
        <w:t xml:space="preserve">Sächsisches Finanzausgleichsgesetz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Staatsministerium der Finanzen wird ein Beirat für den kommunalen Finanzausgleich eingerichtet. Ihm gehören an:</w:t>
      </w:r>
    </w:p>
    <w:p>
      <w:r>
        <w:t xml:space="preserve">1. zwei Vertreterinnen oder Vertreter des Staatsministeriums der Finanzen, davon eine Person als Vorsitzende oder Vorsitzender,</w:t>
      </w:r>
    </w:p>
    <w:p>
      <w:r>
        <w:t xml:space="preserve">2. zwei Vertreterinnen oder Vertreter des Staatsministeriums des Innern,</w:t>
      </w:r>
    </w:p>
    <w:p>
      <w:r>
        <w:t xml:space="preserve">3. zwei vom Staatsministerium der Finanzen auf Vorschlag der kommunalen Landesverbände berufene Vertreterinnen oder Vertreter der Landkreise und</w:t>
      </w:r>
    </w:p>
    <w:p>
      <w:r>
        <w:t xml:space="preserve">4. drei vom Staatsministerium der Finanzen auf Vorschlag der kommunalen Landesverbände berufene Vertreterinnen oder Vertreter der Gemeinden, darunter je eine Vertreterin oder ein Vertreter des kreisangehörigen und des kreisfreien Raumes.</w:t>
      </w:r>
    </w:p>
    <w:p>
      <w:r>
        <w:t xml:space="preserve">Der Beirat gibt sich eine Geschäftsordnung.</w:t>
      </w:r>
    </w:p>
    <w:p>
      <w:r>
        <w:t xml:space="preserve">(2) Der Beirat berät das Staatsministerium der Finanzen in Fragen der Ausgestaltung des kommunalen Finanzausgleichs, zum Anpassungsbedarf nach Absatz 3 und bei der Entwicklung von Grundsätzen bei der Vergabe von Bedarfszuweisungen. Er ist zu hören:</w:t>
      </w:r>
    </w:p>
    <w:p>
      <w:r>
        <w:t xml:space="preserve">1. bei die kommunale Ebene betreffenden finanzwirksamen Verwaltungsvorschriften der Staatsministerien von erheblicher Bedeutung,</w:t>
      </w:r>
    </w:p>
    <w:p>
      <w:r>
        <w:t xml:space="preserve">2. vor Entscheidungen über Bedarfszuweisungen (§ 22) bei einer Antragshöhe von mehr als 500 000 Euro und</w:t>
      </w:r>
    </w:p>
    <w:p>
      <w:r>
        <w:t xml:space="preserve">3. vor Entscheidungen über Zuweisungen nach § 29, mit Ausnahme der in § 29 Absatz 2 Nummer 4 genannten Fälle.</w:t>
      </w:r>
    </w:p>
    <w:p>
      <w:r>
        <w:t xml:space="preserve">(3) Der Beirat führt die Prüfungen nach § 2 Absatz 2, § 4 Absatz 1 Satz 2 und § 16 Absatz 3 Satz 1 und Absatz 4 durch.</w:t>
      </w:r>
    </w:p>
    <w:p>
      <w:r>
        <w:t xml:space="preserve">(4) Der Beirat erhält, insbesondere zur Finanzierung von Beratungsleistungen durch Dritte, nach § 3 Absatz 1 Nummer 1 Buchstabe h 50 000 Euro aus der Finanzausgleichsmasse.</w:t>
      </w:r>
    </w:p>
    <w:p>
      <w:r>
        <w:rPr>
          <w:color w:val="555555"/>
          <w:sz w:val="17"/>
        </w:rPr>
        <w:t xml:space="preserve">Zitiervorschlag: § 34 SächsFAG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https://recht.nulegal.eu/gesetze/S%C3%A4chsFAG/34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SächsFAG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