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SächsFAG (Sachsen) — Durchführungsvorschriften</w:t>
      </w:r>
    </w:p>
    <w:p>
      <w:r>
        <w:rPr>
          <w:color w:val="555555"/>
          <w:sz w:val="18"/>
        </w:rPr>
        <w:t xml:space="preserve">Sächsisches Finanzausgleichsgesetz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Staatsministerium der Finanzen erlässt die für die Durchführung dieses Gesetzes erforderlichen Verwaltungsvorschriften im Benehmen mit dem Staatsministerium des Innern nach Anhörung des Beirates nach § 34.</w:t>
      </w:r>
    </w:p>
    <w:p>
      <w:r>
        <w:rPr>
          <w:color w:val="555555"/>
          <w:sz w:val="17"/>
        </w:rPr>
        <w:t xml:space="preserve">Zitiervorschlag: § 32 SächsFAG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https://recht.nulegal.eu/gesetze/S%C3%A4chsFAG/32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