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SächsFAG (Sachsen) — Verwendung der Finanzausgleichsmasse</w:t>
      </w:r>
    </w:p>
    <w:p>
      <w:r>
        <w:rPr>
          <w:color w:val="555555"/>
          <w:sz w:val="18"/>
        </w:rPr>
        <w:t xml:space="preserve">Sächsisches Finanzausgleichsgesetz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Finanzausgleichsmasse wird verwendet für:</w:t>
      </w:r>
    </w:p>
    <w:p>
      <w:r>
        <w:t xml:space="preserve">1. Vorwegentnahmen für</w:t>
      </w:r>
    </w:p>
    <w:p>
      <w:r>
        <w:t xml:space="preserve">a)</w:t>
      </w:r>
    </w:p>
    <w:p>
      <w:r>
        <w:t xml:space="preserve">den Ausgleich für übertragene Aufgaben nach § 16,</w:t>
      </w:r>
    </w:p>
    <w:p>
      <w:r>
        <w:t xml:space="preserve">b)</w:t>
      </w:r>
    </w:p>
    <w:p>
      <w:r>
        <w:t xml:space="preserve">den Ausgleich von Sonderlasten nach § 17 Absatz 1,</w:t>
      </w:r>
    </w:p>
    <w:p>
      <w:r>
        <w:t xml:space="preserve">c)</w:t>
      </w:r>
    </w:p>
    <w:p>
      <w:r>
        <w:t xml:space="preserve">Zuweisungen zum Ausgleich besonderen Bedarfs nach § 22,</w:t>
      </w:r>
    </w:p>
    <w:p>
      <w:r>
        <w:t xml:space="preserve">d)</w:t>
      </w:r>
    </w:p>
    <w:p>
      <w:r>
        <w:t xml:space="preserve">(aufgehoben)</w:t>
      </w:r>
    </w:p>
    <w:p>
      <w:r>
        <w:t xml:space="preserve">e)</w:t>
      </w:r>
    </w:p>
    <w:p>
      <w:r>
        <w:t xml:space="preserve">Zweckzuweisungen zur Förderung kommunaler Investitionen nach § 24,</w:t>
      </w:r>
    </w:p>
    <w:p>
      <w:r>
        <w:t xml:space="preserve">f)</w:t>
      </w:r>
    </w:p>
    <w:p>
      <w:r>
        <w:t xml:space="preserve">Zuweisungen für herausgehobene Maßnahmen nach § 29,</w:t>
      </w:r>
    </w:p>
    <w:p>
      <w:r>
        <w:t xml:space="preserve">g)</w:t>
      </w:r>
    </w:p>
    <w:p>
      <w:r>
        <w:t xml:space="preserve">die Beteiligung an Sanktionszahlungen (Artikel 109 Absatz 5 des Grundgesetzes ) nach § 29b und</w:t>
      </w:r>
    </w:p>
    <w:p>
      <w:r>
        <w:t xml:space="preserve">h)</w:t>
      </w:r>
    </w:p>
    <w:p>
      <w:r>
        <w:t xml:space="preserve">die Finanzierung von Beratungsleistungen durch Dritte nach § 34 Absatz 4 und</w:t>
      </w:r>
    </w:p>
    <w:p>
      <w:r>
        <w:t xml:space="preserve">2. Schlüsselzuweisungen nach § 4 Absatz 1.</w:t>
      </w:r>
    </w:p>
    <w:p>
      <w:r>
        <w:t xml:space="preserve">(2) Das Staatsministerium der Finanzen rechnet die Verwendung der Finanzausgleichsmasse jährlich gesondert ab. Mehr- oder Minderzuweisungen bei den Verwendungsbereichen nach Absatz 1 können über die Zuweisungen zum Ausgleich besonderen Bedarfs nach § 22 verrechnet werden.</w:t>
      </w:r>
    </w:p>
    <w:p>
      <w:r>
        <w:rPr>
          <w:color w:val="555555"/>
          <w:sz w:val="17"/>
        </w:rPr>
        <w:t xml:space="preserve">Zitiervorschlag: § 3 SächsFAG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https://recht.nulegal.eu/gesetze/S%C3%A4chsFAG/3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