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SächsFAG (Sachsen) — Grundsätze</w:t>
      </w:r>
    </w:p>
    <w:p>
      <w:r>
        <w:rPr>
          <w:color w:val="555555"/>
          <w:sz w:val="18"/>
        </w:rPr>
        <w:t xml:space="preserve">Sächsisches Finanzausgleichsgesetz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Erfüllung von Aufgaben mit überörtlicher oder überregionaler Bedeutung soll ein direkter Lastenausgleich zwischen den beteiligten Gebietskörperschaften auf der Grundlage freiwilliger Vereinbarungen, soweit notwendig und geboten, erfolgen.</w:t>
      </w:r>
    </w:p>
    <w:p>
      <w:r>
        <w:t xml:space="preserve">(2) Bei der Bemessung des direkten Lastenausgleichs ist der Vorteil jeder beteiligten Gebietskörperschaft aus der überörtlichen oder überregionalen Aufgabenerfüllung angemessen zugrunde zu legen.</w:t>
      </w:r>
    </w:p>
    <w:p>
      <w:r>
        <w:rPr>
          <w:color w:val="555555"/>
          <w:sz w:val="17"/>
        </w:rPr>
        <w:t xml:space="preserve">Zitiervorschlag: § 25 SächsFAG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https://recht.nulegal.eu/gesetze/S%C3%A4chsFAG/25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SächsFAG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