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20c SächsFAG (Sachsen) — Gewässerlastenausgleich</w:t>
      </w:r>
    </w:p>
    <w:p>
      <w:r>
        <w:rPr>
          <w:color w:val="555555"/>
          <w:sz w:val="18"/>
        </w:rPr>
        <w:t xml:space="preserve">Sächsisches Finanzausgleichsgesetz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kreisangehörigen Gemeinden und Kreisfreien Städte erhalten je volle 100 Meter Gewässer zweiter Ordnung einen Ausgleich, soweit sie Träger der Unterhaltungslast nach § 32 Absatz 1 Satz 1 Nummer 2 des Sächsischen Wassergesetzes , Mitglied eines Gewässerunterhaltungsverbandes oder eines Wasser- und Bodenverbandes sind, der anstelle der Gemeinde die Aufgabe der Gewässerunterhaltung wahrnimmt.</w:t>
      </w:r>
    </w:p>
    <w:p>
      <w:r>
        <w:t xml:space="preserve">(2) Für den Ausgleich wird der gemäß § 17 Absatz 1 Nummer 3 zur Verfügung stehende Gesamtbetrag entsprechend aufgeteilt. Die Gewässerlänge bestimmt sich nach dem Gewässerverzeichnis des Landesamtes für Umwelt, Landwirtschaft und Geologie mit Stand vom 31. Oktober des dem Ausgleichsjahr vorangegangenen Jahres.</w:t>
      </w:r>
    </w:p>
    <w:p>
      <w:r>
        <w:rPr>
          <w:color w:val="555555"/>
          <w:sz w:val="17"/>
        </w:rPr>
        <w:t xml:space="preserve">Zitiervorschlag: § 20c SächsFAG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https://recht.nulegal.eu/gesetze/S%C3%A4chsFAG/20c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20c SächsFAG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