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20a SächsFAG (Sachsen) — Pauschale Zuweisungen für Instandsetzung, Erneuerung und Erstellung von in kommunaler Baulast befindlichen Straßen und Radwegen</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Kreisangehörige Gemeinden, Kreisfreie Städte und Landkreise erhalten für Instandsetzungs-, Erneuerungs- und Erstellungsmaßnahmen an den in ihrer Baulast befindlichen Straßen gemäß den §§ 18 bis 20 und selbständigen Radwegen abschließend jährlich pauschale Zuweisungen.</w:t>
      </w:r>
    </w:p>
    <w:p>
      <w:r>
        <w:t xml:space="preserve">(2) Bemessungsgrundlage ist die Netzlänge der Straßen und selbständigen Radwege gemäß dem Bestandsverzeichnis mit Stand 1. Januar des jeweiligen Haushaltsjahres sowie für Kreisstraßen und Gemeindestraßen gestaffelt entsprechend dem Verhältnis der Zuweisungen nach § 18 Absatz 1 Satz 1 und § 20 Absatz 1 Satz 1. Die Bundesstraßen, Staatsstraßen und Ortsdurchfahrten von Kreisstraßen in kommunaler Baulast werden hinsichtlich der Staffelung bei der Bemessung den Kreisstraßen gleichgestellt. Selbständig geführte Radwege (gemäß Anlage 7 der Verordnung des Sächsischen Staatsministeriums für Wirtschaft, Arbeit und Verkehr über die Straßen- und Bestandsverzeichnisse vom 4. Januar 1995 [SächsGVBl. S. 57], die zuletzt durch Artikel 2 der Verordnung vom 2. März 2012 [SächsGVBl. S. 163] geändert worden ist) werden mit dem Faktor 0,5 gegenüber Gemeindestraßen berücksichtigt.</w:t>
      </w:r>
    </w:p>
    <w:p>
      <w:r>
        <w:t xml:space="preserve">(3) § 15 Absatz 3 Satz 1 gilt entsprechend.</w:t>
      </w:r>
    </w:p>
    <w:p>
      <w:r>
        <w:rPr>
          <w:color w:val="555555"/>
          <w:sz w:val="17"/>
        </w:rPr>
        <w:t xml:space="preserve">Zitiervorschlag: § 20a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https://recht.nulegal.eu/gesetze/S%C3%A4chsFAG/20a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20a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