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SächsFAG (Sachsen) — Zuweisungen für Gemeindestraßen</w:t>
      </w:r>
    </w:p>
    <w:p>
      <w:r>
        <w:rPr>
          <w:color w:val="555555"/>
          <w:sz w:val="18"/>
        </w:rPr>
        <w:t xml:space="preserve">Sächsisches Finanzausgleichsgesetz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kreisangehörigen Gemeinden sowie die Kreisfreien Städte erhalten je Kilometer Gemeindestraße, gerundet auf eine Stelle nach dem Komma, 2 930 Euro. Zusätzlich erhalten kreisangehörige Gemeinden und Kreisfreie Städte, wenn sie im Durchschnitt über 291 Meter über Normalnull liegen, einen Zuschlag von 4 Euro je Kilometer Gemeindestraße für jeden die Grenze von 291 Meter übersteigenden Meter.</w:t>
      </w:r>
    </w:p>
    <w:p>
      <w:r>
        <w:t xml:space="preserve">(2) § 18 Absatz 3 gilt entsprechend.</w:t>
      </w:r>
    </w:p>
    <w:p>
      <w:r>
        <w:rPr>
          <w:color w:val="555555"/>
          <w:sz w:val="17"/>
        </w:rPr>
        <w:t xml:space="preserve">Zitiervorschlag: § 20 SächsFAG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SächsFAG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