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SächsFAG (Sachsen) — Umlagekraftmesszahl</w:t>
      </w:r>
    </w:p>
    <w:p>
      <w:r>
        <w:rPr>
          <w:color w:val="555555"/>
          <w:sz w:val="18"/>
        </w:rPr>
        <w:t xml:space="preserve">Sächsisches Finanzausgleichsgesetz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Umlagekraftmesszahl des Ausgleichsjahres wird berechnet, indem die Umlagegrundlagen der kreisangehörigen Gemeinden (§ 26 Absatz 3) mit dem gewogenen Landesdurchschnitt des Umlagesatzes der Kreisumlage (§ 26 Absatz 2) vervielfältigt werden und der dem Landkreis nach § 25a Absatz 2 Satz 4 zufließende Betrag hinzugezählt wird. Sie wird auf zwei Stellen nach dem Komma gerundet.</w:t>
      </w:r>
    </w:p>
    <w:p>
      <w:r>
        <w:t xml:space="preserve">(2) Der gewogene Landesdurchschnitt des Umlagesatzes der Kreisumlage wird ermittelt, indem das Gesamtaufkommen an Kreisumlage des vergangenen Ausgleichsjahres durch die Summe der Umlagegrundlagen der kreisangehörigen Gemeinden für das vergangene Jahr (§ 26 Absatz 3) geteilt und auf zwei Stellen nach dem Komma gerundet wird.</w:t>
      </w:r>
    </w:p>
    <w:p>
      <w:r>
        <w:rPr>
          <w:color w:val="555555"/>
          <w:sz w:val="17"/>
        </w:rPr>
        <w:t xml:space="preserve">Zitiervorschlag: § 13 SächsFAG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https://recht.nulegal.eu/gesetze/S%C3%A4chsFAG/13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