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SächsFAG (Sachsen) — Allgemeines</w:t>
      </w:r>
    </w:p>
    <w:p>
      <w:r>
        <w:rPr>
          <w:color w:val="555555"/>
          <w:sz w:val="18"/>
        </w:rPr>
        <w:t xml:space="preserve">Sächsisches Finanzausgleichsgesetz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Höhe der Schlüsselzuweisungen an die Landkreise bemisst sich für den einzelnen Landkreis im Verhältnis zu den anderen Landkreisen nach seiner Umlagekraft und seinem auf die Einwohnerin und den Einwohner (§ 30) sowie die Schülerin und den Schüler (§ 7 Absatz 4 Satz 1 bis 12) bezogenen durchschnittlichen Finanzbedarf.</w:t>
      </w:r>
    </w:p>
    <w:p>
      <w:r>
        <w:t xml:space="preserve">(2) Die Schlüsselzuweisung wird auf der Grundlage der Bedarfsmesszahl (§ 12) und der Umlagekraftmesszahl (§ 13) nach Maßgabe des § 14 ermittelt.</w:t>
      </w:r>
    </w:p>
    <w:p>
      <w:r>
        <w:rPr>
          <w:color w:val="555555"/>
          <w:sz w:val="17"/>
        </w:rPr>
        <w:t xml:space="preserve">Zitiervorschlag: § 11 SächsFAG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https://recht.nulegal.eu/gesetze/S%C3%A4chsFAG/11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SächsFAG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