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SächsEntEG (Sachsen)</w:t>
      </w:r>
    </w:p>
    <w:p>
      <w:r>
        <w:rPr>
          <w:color w:val="555555"/>
          <w:sz w:val="18"/>
        </w:rPr>
        <w:t xml:space="preserve">Sächsisches Enteignungs- und Entschädigungsgesetz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21. Juni 2001 das folgende Gesetz beschlossen:</w:t>
      </w:r>
    </w:p>
    <w:p>
      <w:r>
        <w:rPr>
          <w:color w:val="555555"/>
          <w:sz w:val="17"/>
        </w:rPr>
        <w:t xml:space="preserve">Zitiervorschlag: Eingangsformel SächsEntEG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https://recht.nulegal.eu/gesetze/S%C3%A4chsEntEG/eingangsformel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