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SächsEntEG (Sachsen) — Änderung des Sächsischen Wassergesetzes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Sächsische Wassergesetz ( SächsWG ) in der Fassung der Bekanntmachung vom 21. Juli 1998 (SächsGVBl. S. 393), geändert durch Artikel 3 des Gesetzes vom 25. Juni 1999 (SächsGVBl. S. 398), wird wie folgt geändert:</w:t>
      </w:r>
    </w:p>
    <w:p>
      <w:r>
        <w:t xml:space="preserve">1. § 115 erhält folgende Fassung:</w:t>
      </w:r>
    </w:p>
    <w:p>
      <w:r>
        <w:t xml:space="preserve">„§ 115</w:t>
      </w:r>
    </w:p>
    <w:p>
      <w:r>
        <w:t xml:space="preserve">Enteignung</w:t>
      </w:r>
    </w:p>
    <w:p>
      <w:r>
        <w:t xml:space="preserve">Eine Enteignung von Grundstücken und grundstücksgleichen Rechten ist zur Durchführung eines dem Wohl der Allgemeinheit dienenden Ausbauvorhabens zulässig, wenn ein für dieses Vorhaben nach § 31 WHG in Verbindung mit § 80 dieses Gesetzes festgestellter Plan vollziehbar ist oder eine Maßnahme des Ausbaus nach § 17 des Wassergesetzes vom 2. Juli 1982 (GVBl. Nr. 26, S. 467) zugelassen wurde.“</w:t>
      </w:r>
    </w:p>
    <w:p>
      <w:r>
        <w:t xml:space="preserve">2. In § 116 Abs. 1 wird die Angabe „der §§ 93 bis 103 Baugesetzbuch “ durch die Angabe „des § 4 des Sächsischen Enteignungs- und Entschädigungsgesetzes (SächsEntEG) vom 18. Juli 2001 (SächsGVBl. S. 453)“ ersetzt.</w:t>
      </w:r>
    </w:p>
    <w:p>
      <w:r>
        <w:t xml:space="preserve">3. In § 131 Abs. 5 wird die Angabe „gelten für das Verfahren die §§ 106 bis 122 des Baugesetzbuches entsprechend“ durch die Angabe „sind die Vorschriften des Sächsischen Enteignungs- und Entschädigungsgesetzes (SächsEntEG) (SächsEntEG) vom 18. Juli 2001 (SächsGVBl. S. 453) anzuwenden“ ersetzt.</w:t>
      </w:r>
    </w:p>
    <w:p>
      <w:r>
        <w:rPr>
          <w:color w:val="555555"/>
          <w:sz w:val="17"/>
        </w:rPr>
        <w:t xml:space="preserve">Zitiervorschlag: § 9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