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SächsEntEG (Sachsen) — Änderung des Sächsischen Straßengesetzes</w:t>
      </w:r>
    </w:p>
    <w:p>
      <w:r>
        <w:rPr>
          <w:color w:val="555555"/>
          <w:sz w:val="18"/>
        </w:rPr>
        <w:t xml:space="preserve">Sächsisches Enteignungs- und Entschädigungsgesetz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Straßengesetz für den Freistaat Sachsen (Sächsisches Straßengesetz – SächsStrG ) vom 21. Januar 1993 (SächsGVBl. S. 93), geändert durch Artikel 8 des Gesetzes vom 4. Juli 1994 (SächsGVBl. S. 1261, 1278), wird wie folgt geändert:</w:t>
      </w:r>
    </w:p>
    <w:p>
      <w:r>
        <w:t xml:space="preserve">1. In § 43 Abs. 5 werden die Worte „gelten die gesetzlichen Regelungen über die Enteignung“ durch die Angabe „gilt das Sächsische Enteignungs- und Entschädigungsgesetz (SächsEntEG) vom 18. Juli 2001 (SächsGVBl. S. 453)“ ersetzt.</w:t>
      </w:r>
    </w:p>
    <w:p>
      <w:r>
        <w:t xml:space="preserve">2. § 59 wird aufgehoben.</w:t>
      </w:r>
    </w:p>
    <w:p>
      <w:r>
        <w:rPr>
          <w:color w:val="555555"/>
          <w:sz w:val="17"/>
        </w:rPr>
        <w:t xml:space="preserve">Zitiervorschlag: § 8 SächsEntEG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https://recht.nulegal.eu/gesetze/S%C3%A4chsEntEG/8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