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SächsEntEG (Sachsen) — Anwendung des Baugesetzbuches</w:t>
      </w:r>
    </w:p>
    <w:p>
      <w:r>
        <w:rPr>
          <w:color w:val="555555"/>
          <w:sz w:val="18"/>
        </w:rPr>
        <w:t xml:space="preserve">Sächsisches Enteignungs- und Entschädigungsgesetz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Soweit nach diesem Gesetz das Baugesetzbuch Anwendung findet, ist es in der am 1. Januar 1998 geltenden Fassung (BGBl. 1997 I S. 2141, 1998 I S. 137) anzuwenden.</w:t>
      </w:r>
    </w:p>
    <w:p>
      <w:r>
        <w:rPr>
          <w:color w:val="555555"/>
          <w:sz w:val="17"/>
        </w:rPr>
        <w:t xml:space="preserve">Zitiervorschlag: § 6 SächsEntEG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https://recht.nulegal.eu/gesetze/S%C3%A4chsEntEG/6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