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SächsEntEG (Sachsen) — Entschädigung und Rückenteignung</w:t>
      </w:r>
    </w:p>
    <w:p>
      <w:r>
        <w:rPr>
          <w:color w:val="555555"/>
          <w:sz w:val="18"/>
        </w:rPr>
        <w:t xml:space="preserve">Sächsisches Enteignungs- und Entschädigungsgesetz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Enteignung ist eine Entschädigung nach den §§ 93, 94, 95 Abs. 1, Abs. 2 Nr. 1 bis 6, Abs. 3 und 4 sowie §§ 96 bis 101, 194 BauGB zu leisten.</w:t>
      </w:r>
    </w:p>
    <w:p>
      <w:r>
        <w:t xml:space="preserve">(2) Für den Anspruch des enteigneten früheren Eigentümers auf Rückenteignung gelten § 102 Abs. 1 Nr. 1, Abs. 2 bis 5 und § 103 BauGB . Das Rückenteignungsverfahren richtet sich nach § 5.</w:t>
      </w:r>
    </w:p>
    <w:p>
      <w:r>
        <w:rPr>
          <w:color w:val="555555"/>
          <w:sz w:val="17"/>
        </w:rPr>
        <w:t xml:space="preserve">Zitiervorschlag: § 4 SächsEntEG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https://recht.nulegal.eu/gesetze/S%C3%A4chsEntEG/4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