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SächsEntEG (Sachsen) — Übergangsbestimmungen</w:t>
      </w:r>
    </w:p>
    <w:p>
      <w:r>
        <w:rPr>
          <w:color w:val="555555"/>
          <w:sz w:val="18"/>
        </w:rPr>
        <w:t xml:space="preserve">Sächsisches Enteignungs- und Entschädigungsgesetz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Bei In-Kraft-Treten dieses Gesetzes anhängige Enteignungsverfahren sind nach den bisherigen Vorschriften weiterzuführen. Gab es für ein anhängiges Verfahren bisher keine Verfahrensvorschriften, ist das Verfahren nach den Vorschriften dieses Gesetzes durchzuführen.</w:t>
      </w:r>
    </w:p>
    <w:p>
      <w:r>
        <w:t xml:space="preserve">(2) Abweichend von § 7 Abs. 1 kann bis zum 31. Dezember 2001 in den Fällen des § 7 Abs. 1 Nr. 1 eine Geldbuße bis zu 100 000 DM und in den Fällen des § 7 Abs. 1 Nr. 2 eine Geldbuße bis zu 10 000 DM festgesetzt werden.</w:t>
      </w:r>
    </w:p>
    <w:p>
      <w:r>
        <w:rPr>
          <w:color w:val="555555"/>
          <w:sz w:val="17"/>
        </w:rPr>
        <w:t xml:space="preserve">Zitiervorschlag: § 10 SächsEntEG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https://recht.nulegal.eu/gesetze/S%C3%A4chsEntEG/10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