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SächsEJustizVO (Sachsen) — Ausnahme für die Insolvenztabelle</w:t>
      </w:r>
    </w:p>
    <w:p>
      <w:r>
        <w:rPr>
          <w:color w:val="555555"/>
          <w:sz w:val="18"/>
        </w:rPr>
        <w:t xml:space="preserve">Sächsische E-Justizverordnung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den Insolvenzgerichten ist die Tabelle nach § 178 Absatz 2 der Insolvenzordnung von der elektronischen Aktenführung ausgenommen.</w:t>
      </w:r>
    </w:p>
    <w:p>
      <w:r>
        <w:rPr>
          <w:color w:val="555555"/>
          <w:sz w:val="17"/>
        </w:rPr>
        <w:t xml:space="preserve">Zitiervorschlag: § 12 SächsEJustizVO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https://recht.nulegal.eu/gesetze/S%C3%A4chsEJustizVO/12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SächsEJustizVO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