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SächsEGovGDVO (Sachsen)</w:t>
      </w:r>
    </w:p>
    <w:p>
      <w:r>
        <w:rPr>
          <w:color w:val="555555"/>
          <w:sz w:val="18"/>
        </w:rPr>
        <w:t xml:space="preserve">Sächsische E-Government-Gesetz-Durchführungsverordnung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13. Dezember 2016</w:t>
      </w:r>
    </w:p>
    <w:p>
      <w:r>
        <w:t xml:space="preserve">Auf Grund des § 10 Absatz 4 Satz 1 und 3 in Verbindung mit Satz 4 Nummer 1, 2 und 4 des Sächsischen E-Government-Gesetzes vom 9. Juli 2014 (SächsGVBl. S. 398) verordnet die Staatsregierung:</w:t>
      </w:r>
    </w:p>
    <w:p>
      <w:r>
        <w:rPr>
          <w:color w:val="555555"/>
          <w:sz w:val="17"/>
        </w:rPr>
        <w:t xml:space="preserve">Zitiervorschlag: Eingangsformel SächsEGovGDVO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https://recht.nulegal.eu/gesetze/S%C3%A4chsEGovGDVO/eingangsformel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