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SächsEGovGDVO (Sachsen) — Inkrafttreten</w:t>
      </w:r>
    </w:p>
    <w:p>
      <w:r>
        <w:rPr>
          <w:color w:val="555555"/>
          <w:sz w:val="18"/>
        </w:rPr>
        <w:t xml:space="preserve">Sächsische E-Government-Gesetz-Durchführungsverordnung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Dresden, den 13. Dezember 2016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Der Staatsminister des Innern</w:t>
      </w:r>
    </w:p>
    <w:p>
      <w:r>
        <w:t xml:space="preserve">Markus Ulbig</w:t>
      </w:r>
    </w:p>
    <w:p>
      <w:r>
        <w:rPr>
          <w:color w:val="555555"/>
          <w:sz w:val="17"/>
        </w:rPr>
        <w:t xml:space="preserve">Zitiervorschlag: § 21 SächsEGovGDVO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https://recht.nulegal.eu/gesetze/S%C3%A4chsEGovGDVO/21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