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SächsEGovG (Sachsen) — Evaluierung</w:t>
      </w:r>
    </w:p>
    <w:p>
      <w:r>
        <w:rPr>
          <w:color w:val="555555"/>
          <w:sz w:val="18"/>
        </w:rPr>
        <w:t xml:space="preserve">Sächsisches E-Government-Gesetz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Staatsregierung legt dem Landtag im Jahr 2021 einen Bericht vor, in dem sie darlegt,</w:t>
      </w:r>
    </w:p>
    <w:p>
      <w:r>
        <w:t xml:space="preserve">1. welche Auswirkungen dieses Gesetz insbesondere auf die Entwicklung des E-Governments im Freistaat Sachsen hat,</w:t>
      </w:r>
    </w:p>
    <w:p>
      <w:r>
        <w:t xml:space="preserve">2. welche Projekte auf der Basis der Experimentierklausel des § 20 durchgeführt wurden,</w:t>
      </w:r>
    </w:p>
    <w:p>
      <w:r>
        <w:t xml:space="preserve">3. wie sich Datenschutz und Barrierefreiheit in den informationstechnischen Systemen des Freistaates Sachsen entwickelt haben,</w:t>
      </w:r>
    </w:p>
    <w:p>
      <w:r>
        <w:t xml:space="preserve">4. welche Kosten und Nutzen bei der Umsetzung dieses Gesetzes entstanden sind und</w:t>
      </w:r>
    </w:p>
    <w:p>
      <w:r>
        <w:t xml:space="preserve">5. ob eine Weiterentwicklung der Vorschriften dieses Gesetzes erforderlich ist.</w:t>
      </w:r>
    </w:p>
    <w:p>
      <w:r>
        <w:t xml:space="preserve">Bei der Evaluierung ist auch die Perspektive der Nutzer der E-Government-Angebote, insbesondere der Bürgerinnen und Bürger sowie Unternehmen, zu berücksichtigen.</w:t>
      </w:r>
    </w:p>
    <w:p>
      <w:r>
        <w:t xml:space="preserve">(2) Nach der Evaluierung gemäß Absatz 1 werden dem Landtag entsprechende Erfahrungsberichte jeweils nach Ablauf weiterer zwei Jahre vorgelegt.</w:t>
      </w:r>
    </w:p>
    <w:p>
      <w:r>
        <w:rPr>
          <w:color w:val="555555"/>
          <w:sz w:val="17"/>
        </w:rPr>
        <w:t xml:space="preserve">Zitiervorschlag: § 21 SächsEGovG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https://recht.nulegal.eu/gesetze/S%C3%A4chsEGovG/21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