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SächsEGovG (Sachsen) — Verhältnis zu anderen Vorschriften</w:t>
      </w:r>
    </w:p>
    <w:p>
      <w:r>
        <w:rPr>
          <w:color w:val="555555"/>
          <w:sz w:val="18"/>
        </w:rPr>
        <w:t xml:space="preserve">Sächsisches E-Government-Gesetz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Unberührt bleibt § 1 Satz 1 des Gesetzes zur Regelung des Verwaltungsverfahrens- und des Verwaltungszustellungsrechts für den Freistaat Sachsen in Verbindung mit § 3a des Verwaltungsverfahrensgesetzes .</w:t>
      </w:r>
    </w:p>
    <w:p>
      <w:r>
        <w:t xml:space="preserve">(2) Unberührt bleibt § 123 Absatz 5 der Sächsischen Gemeindeordnung in der Fassung der Bekanntmachung vom 9. März 2018 (SächsGVBl. S. 62).</w:t>
      </w:r>
    </w:p>
    <w:p>
      <w:r>
        <w:t xml:space="preserve">(3) Unberührt bleibt § 9 des Sächsischen Sorbengesetzes vom 31. März 1999 (SächsGVBl. S. 161), das zuletzt durch Artikel 59a des Gesetzes vom 27. Januar 2012 (SächsGVBl. S. 130) geändert worden ist, in der jeweils geltenden Fassung. Die notwendigen Voraussetzungen zur Verwendung der sorbischen Sprache sind zu schaffen.</w:t>
      </w:r>
    </w:p>
    <w:p>
      <w:r>
        <w:rPr>
          <w:color w:val="555555"/>
          <w:sz w:val="17"/>
        </w:rPr>
        <w:t xml:space="preserve">Zitiervorschlag: § 19 SächsEGovG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https://recht.nulegal.eu/gesetze/S%C3%A4chsEGovG/19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SächsEGovG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