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SächsEAG (Sachsen)</w:t>
      </w:r>
    </w:p>
    <w:p>
      <w:r>
        <w:rPr>
          <w:color w:val="555555"/>
          <w:sz w:val="18"/>
        </w:rPr>
        <w:t xml:space="preserve">Gesetz über den einheitlichen Ansprechpartner im Freistaat Sachsen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Sächsische Landtag hat am 24. Juni 2009 das folgende Gesetz beschlossen:</w:t>
      </w:r>
    </w:p>
    <w:p>
      <w:r>
        <w:rPr>
          <w:color w:val="555555"/>
          <w:sz w:val="17"/>
        </w:rPr>
        <w:t xml:space="preserve">Zitiervorschlag: Eingangsformel SächsEAG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https://recht.nulegal.eu/gesetze/S%C3%A4chsEAG/eingangsformel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