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SächsEAG (Sachsen) — Inkrafttreten</w:t>
      </w:r>
    </w:p>
    <w:p>
      <w:r>
        <w:rPr>
          <w:color w:val="555555"/>
          <w:sz w:val="18"/>
        </w:rPr>
        <w:t xml:space="preserve">Gesetz über den einheitlichen Ansprechpartner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Kraft, mit Ausnahme der §§ 1 und 2, die mit Wirkung vom 28. Dezember 2009 in Kraft treten.</w:t>
      </w:r>
    </w:p>
    <w:p>
      <w:r>
        <w:t xml:space="preserve">Dresden, den 13. August 2009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für Wirtschaft und Arbeit</w:t>
      </w:r>
    </w:p>
    <w:p>
      <w:r>
        <w:t xml:space="preserve">Thomas Jurk</w:t>
      </w:r>
    </w:p>
    <w:p>
      <w:r>
        <w:rPr>
          <w:color w:val="555555"/>
          <w:sz w:val="17"/>
        </w:rPr>
        <w:t xml:space="preserve">Zitiervorschlag: § 6 SächsEAG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https://recht.nulegal.eu/gesetze/S%C3%A4chsEAG/6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SächsEAG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