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SächsEAG (Sachsen) — Datenschutz</w:t>
      </w:r>
    </w:p>
    <w:p>
      <w:r>
        <w:rPr>
          <w:color w:val="555555"/>
          <w:sz w:val="18"/>
        </w:rPr>
        <w:t xml:space="preserve">Gesetz über den einheitlichen Ansprechpartner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für Wirtschaft, Arbeit und Verkehr wird ermächtigt, durch Rechtsverordnung zu bestimmen, unter welchen Voraussetzungen, in welchem Umfang und mit welcher Dauer personenbezogene Daten durch den einheitlichen Ansprechpartner im Rahmen seiner Aufgaben erhoben, gespeichert, verändert, genutzt und übermittelt werden können. Das Grundrecht auf Datenschutz nach Artikel 33 der Verfassung des Freistaates Sachsen vom 27. Mai 1992 (SächsGVBl. S. 243) und nach Artikel 2 Abs. 1 in Verbindung mit Artikel 1 Abs. 1 des Grundgesetzes wird insoweit eingeschränkt.</w:t>
      </w:r>
    </w:p>
    <w:p>
      <w:r>
        <w:rPr>
          <w:color w:val="555555"/>
          <w:sz w:val="17"/>
        </w:rPr>
        <w:t xml:space="preserve">Zitiervorschlag: § 4 SächsEAG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https://recht.nulegal.eu/gesetze/S%C3%A4chsEAG/4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SächsEAG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