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SächsDolmG (Sachsen)</w:t>
      </w:r>
    </w:p>
    <w:p>
      <w:r>
        <w:rPr>
          <w:color w:val="555555"/>
          <w:sz w:val="18"/>
        </w:rPr>
        <w:t xml:space="preserve">Sächsisches Dolmetschergesetz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15. März 2023 das folgende Gesetz beschlossen:</w:t>
      </w:r>
    </w:p>
    <w:p>
      <w:r>
        <w:rPr>
          <w:color w:val="555555"/>
          <w:sz w:val="17"/>
        </w:rPr>
        <w:t xml:space="preserve">Zitiervorschlag: Eingangsformel SächsDolmG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https://recht.nulegal.eu/gesetze/S%C3%A4chsDolmG/eingangsformel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