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SächsDolmG (Sachsen) — Bezeichnung</w:t>
      </w:r>
    </w:p>
    <w:p>
      <w:r>
        <w:rPr>
          <w:color w:val="555555"/>
          <w:sz w:val="18"/>
        </w:rPr>
        <w:t xml:space="preserve">Sächsisches Dolmetschergesetz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Bezeichnung</w:t>
      </w:r>
    </w:p>
    <w:p>
      <w:r>
        <w:t xml:space="preserve">1. „allgemein beeidigte Behördendolmetscherin für … [Angabe der Sprache, für die sie beeidigt ist]",</w:t>
      </w:r>
    </w:p>
    <w:p>
      <w:r>
        <w:t xml:space="preserve">2. „allgemein beeidigter Behördendolmetscher für … [Angabe der Sprache, für die er beeidigt ist]",</w:t>
      </w:r>
    </w:p>
    <w:p>
      <w:r>
        <w:t xml:space="preserve">3. „allgemein beeidigte Übersetzerin für … [Angabe der Sprache, für die sie beeidigt ist]",</w:t>
      </w:r>
    </w:p>
    <w:p>
      <w:r>
        <w:t xml:space="preserve">4. „allgemein beeidigter Übersetzer für … [Angabe der Sprache, für die er beeidigt ist]",</w:t>
      </w:r>
    </w:p>
    <w:p>
      <w:r>
        <w:t xml:space="preserve">5. „allgemein beeidigte Gebärdensprachdolmetscherin" oder</w:t>
      </w:r>
    </w:p>
    <w:p>
      <w:r>
        <w:t xml:space="preserve">6. „allgemein beeidigter Gebärdensprachdolmetscher"</w:t>
      </w:r>
    </w:p>
    <w:p>
      <w:r>
        <w:t xml:space="preserve">darf führen, wer nach § 6 entsprechend allgemein beeidigt ist. In den Fällen des Satzes 1 Nummer 1 bis 4 sind in der Urkunde nach § 6 Absatz 3 und 4 die Sprachen anzugeben, für welche die allgemeine Beeidigung erfolgt.</w:t>
      </w:r>
    </w:p>
    <w:p>
      <w:r>
        <w:rPr>
          <w:color w:val="555555"/>
          <w:sz w:val="17"/>
        </w:rPr>
        <w:t xml:space="preserve">Zitiervorschlag: § 7 SächsDolmG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https://recht.nulegal.eu/gesetze/S%C3%A4chsDolmG/7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SächsDolmG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