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SächsDolmG (Sachsen) — Anwendungsbereich</w:t>
      </w:r>
    </w:p>
    <w:p>
      <w:r>
        <w:rPr>
          <w:color w:val="555555"/>
          <w:sz w:val="18"/>
        </w:rPr>
        <w:t xml:space="preserve">Sächsisches Dolmetschergesetz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Behördendolmetscherinnen, Behördendolmetscher, Übersetzerinnen, Übersetzer, Gebärdensprachdolmetscherinnen und Gebärdensprachdolmetscher erfolgt die allgemeine Beeidigung für das Gebiet des Freistaates Sachsen nach diesem Gesetz. § 189 Absatz 1 des Gerichtsverfassungsgesetzes bleibt unberührt.</w:t>
      </w:r>
    </w:p>
    <w:p>
      <w:r>
        <w:t xml:space="preserve">(2) Gerichtsdolmetscherinnen und Gerichtsdolmetscher werden nach dem Gerichtsdolmetschergesetz allgemein beeidigt.</w:t>
      </w:r>
    </w:p>
    <w:p>
      <w:r>
        <w:t xml:space="preserve">(3) Das Sächsische Berufsqualifikationsfeststellungsgesetz vom 17. Dezember 2013 (SächsGVBl. S. 874), das zuletzt durch Artikel 1 des Gesetzes vom 30. September 2020 (SächsGVBl. S. 522) geändert worden ist, in der jeweils geltenden Fassung, findet mit Ausnahme von § 16 keine Anwendung.</w:t>
      </w:r>
    </w:p>
    <w:p>
      <w:r>
        <w:t xml:space="preserve">(4) Die nachfolgenden Vorschriften gelten nicht für Personen, die das gesprochene Wort wörtlich oder in zusammengefasster Form aufschreiben, um den Sprachinhalt insbesondere hörgeschädigten Personen zu vermitteln.</w:t>
      </w:r>
    </w:p>
    <w:p>
      <w:r>
        <w:rPr>
          <w:color w:val="555555"/>
          <w:sz w:val="17"/>
        </w:rPr>
        <w:t xml:space="preserve">Zitiervorschlag: § 2 SächsDolmG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https://recht.nulegal.eu/gesetze/S%C3%A4chsDolmG/2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