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SächsDSchG (Sachsen) — Nutzung, Zugang</w:t>
      </w:r>
    </w:p>
    <w:p>
      <w:r>
        <w:rPr>
          <w:color w:val="555555"/>
          <w:sz w:val="18"/>
        </w:rPr>
        <w:t xml:space="preserve">Sächsisches Denkmalschutzgesetz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Werden Kulturdenkmale nicht mehr entsprechend ihrer ursprünglichen Zweckbestimmung genutzt, sollen Eigentümer und Besitzer eine Nutzung anstreben, die eine möglichst weitgehende Erhaltung der Substanz auf die Dauer gewährleistet.</w:t>
      </w:r>
    </w:p>
    <w:p>
      <w:r>
        <w:t xml:space="preserve">(2) Kulturdenkmale oder Teile derselben sollen der Öffentlichkeit im Rahmen des Zumutbaren zugänglich gemacht werden.</w:t>
      </w:r>
    </w:p>
    <w:p>
      <w:r>
        <w:rPr>
          <w:color w:val="555555"/>
          <w:sz w:val="17"/>
        </w:rPr>
        <w:t xml:space="preserve">Zitiervorschlag: § 9 SächsDSchG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https://recht.nulegal.eu/gesetze/S%C3%A4chsDSchG/9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