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SächsDSchG (Sachsen) — Inkrafttreten</w:t>
      </w:r>
    </w:p>
    <w:p>
      <w:r>
        <w:rPr>
          <w:color w:val="555555"/>
          <w:sz w:val="18"/>
        </w:rPr>
        <w:t xml:space="preserve">Sächsisches Denkmalschutzgesetz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3. März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40 SächsDSchG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https://recht.nulegal.eu/gesetze/S%C3%A4chsDSchG/40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SächsDSchG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