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SächsDSchG (Sachsen) — Denkmalfachbehörden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Fachbehörden für alle Fragen des Denkmalschutzes und der Denkmalpflege sind das Landesamt für Denkmalpflege und das Landesamt für Archäologie.</w:t>
      </w:r>
    </w:p>
    <w:p>
      <w:r>
        <w:t xml:space="preserve">(2) Das Landesamt für Denkmalpflege ist die zuständige Fachbehörde für alle Aufgaben, die nicht dem Landesamt für Archäologie zugewiesen sind, insbesondere für Bau- und Kunstdenkmale, Anlagen der Garten- und Landschaftsgestaltung, Werke der Produktions- und Verkehrsgeschichte, Sammlungen.</w:t>
      </w:r>
    </w:p>
    <w:p>
      <w:r>
        <w:t xml:space="preserve">(3) Das Landesamt für Archäologie ist zuständige Fachbehörde für</w:t>
      </w:r>
    </w:p>
    <w:p>
      <w:r>
        <w:t xml:space="preserve">1. unbewegliche archäologische Sachzeugen</w:t>
      </w:r>
    </w:p>
    <w:p>
      <w:r>
        <w:t xml:space="preserve">a)</w:t>
      </w:r>
    </w:p>
    <w:p>
      <w:r>
        <w:t xml:space="preserve">unterhalb der Erdoberfläche außerhalb von Gebäuden, insbesondere Fundamente von Vorgängerbauten, Grablegen, sonstige archäologische Funde,</w:t>
      </w:r>
    </w:p>
    <w:p>
      <w:r>
        <w:t xml:space="preserve">b)</w:t>
      </w:r>
    </w:p>
    <w:p>
      <w:r>
        <w:t xml:space="preserve">unter der Bodenfläche im Innern von baulichen Anlagen, zum Beispiel Gebäuden und Gebäuderuinen,</w:t>
      </w:r>
    </w:p>
    <w:p>
      <w:r>
        <w:t xml:space="preserve">c)</w:t>
      </w:r>
    </w:p>
    <w:p>
      <w:r>
        <w:t xml:space="preserve">unter der Wasseroberfläche im Bereich des Gewässerbettes,</w:t>
      </w:r>
    </w:p>
    <w:p>
      <w:r>
        <w:t xml:space="preserve">2. bewegliche archäologische Sachzeugen und Sammlungen solcher Sachzeugen.</w:t>
      </w:r>
    </w:p>
    <w:p>
      <w:r>
        <w:rPr>
          <w:color w:val="555555"/>
          <w:sz w:val="17"/>
        </w:rPr>
        <w:t xml:space="preserve">Zitiervorschlag: § 3a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https://recht.nulegal.eu/gesetze/S%C3%A4chsDSchG/3a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