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SächsDSchG (Sachsen) — Übergangsvorschriften</w:t>
      </w:r>
    </w:p>
    <w:p>
      <w:r>
        <w:rPr>
          <w:color w:val="555555"/>
          <w:sz w:val="18"/>
        </w:rPr>
        <w:t xml:space="preserve">Sächsisches Denkmalschutzgesetz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zentrale Denkmalliste, die Bezirksdenkmallisten und die Kreisdenkmallisten einschließlich der Nachträge und der vorläufigen Unterschutzstellungen nach §§ 7 Abs. 2, 8 Abs. 2, 9 Abs. 2 und 13 Satz 2 des Denkmalpflegegesetzes der DDR vom 19. Juni 1975 (GBl. I Nr. 26 S. 458) sowie die Liste der Bodenaltertümer einschließlich der Nachträge nach § 6 Abs. 1 der Verordnung der DDR zum Schutze und zur Erhaltung der ur- und frühgeschichtlichen Bodenaltertümer vom 28. Mai 1954 (GBl. I Nr. 54 S. 547) gelten, soweit diese Listen das Gebiet des Freistaates Sachsen betreffen, als vorläufiges Verzeichnis der Kulturdenkmale (§ 10) für das jeweilige Gemeindegebiet solange weiter, bis das Verzeichnis nach § 10 für das Gemeindegebiet erstellt ist.</w:t>
      </w:r>
    </w:p>
    <w:p>
      <w:r>
        <w:t xml:space="preserve">(2) Die Denkmalschutzbehörde kann einzelne Objekte in den in Absatz 1 genannten Denkmallisten löschen, wenn bei ihnen die Voraussetzungen nach § 2 nicht vorliegen.</w:t>
      </w:r>
    </w:p>
    <w:p>
      <w:r>
        <w:rPr>
          <w:color w:val="555555"/>
          <w:sz w:val="17"/>
        </w:rPr>
        <w:t xml:space="preserve">Zitiervorschlag: § 38 SächsDSchG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https://recht.nulegal.eu/gesetze/S%C3%A4chsDSchG/38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