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36 SächsDSchG (Sachsen) — Ordnungswidrigkeiten</w:t>
      </w:r>
    </w:p>
    <w:p>
      <w:r>
        <w:rPr>
          <w:color w:val="555555"/>
          <w:sz w:val="18"/>
        </w:rPr>
        <w:t xml:space="preserve">Sächsisches Denkmalschutzgesetz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handelt, wer vorsätzlich oder fahrlässig</w:t>
      </w:r>
    </w:p>
    <w:p>
      <w:r>
        <w:t xml:space="preserve">1. ohne Genehmigung der Denkmalschutzbehörde die in § 12 Abs. 1 Nr. 1 bis 4, Abs. 1 Nr. 5, zweite Alternative und Abs. 2 Sätze 1 und 2, § 14 Abs. 1, § 14 Abs. 2 (soweit die Tat nicht nach § 35 mit Strafe bedroht ist), § 21 Abs. 2 Satz 2, § 22 Abs. 2 Satz 1, § 23 Abs. 3 Satz 1 bezeichneten Handlungen vornimmt oder den in Genehmigungen enthaltenen vollziehbaren Auflagen zuwiderhandelt,</w:t>
      </w:r>
    </w:p>
    <w:p>
      <w:r>
        <w:t xml:space="preserve">2. den ihn nach §§ 16, 20 Abs. 1 und 2 treffenden Pflichten zuwiderhandelt,</w:t>
      </w:r>
    </w:p>
    <w:p>
      <w:r>
        <w:t xml:space="preserve">3. den Maßnahmen der Denkmalschutzbehörden nach § 4 Abs. 3, § 11 Abs. 1 und 2 zuwiderhandelt, sofern die Behörde auf diese Bußgeldvorschrift verweist,</w:t>
      </w:r>
    </w:p>
    <w:p>
      <w:r>
        <w:t xml:space="preserve">4. den Vorschriften einer nach § 21 Abs. 4 Satz 2, § 22 Abs. 1 Satz 1, § 23 Abs. 1 Satz 1, § 24 Abs. 1 Satz 1 erlassenen Rechtsverordnung zuwiderhandelt, soweit die Rechtsverordnung auf diese Bußgeldvorschrift verweist,</w:t>
      </w:r>
    </w:p>
    <w:p>
      <w:r>
        <w:t xml:space="preserve">5. den Vorschriften einer nach § 21 Abs. 1 erlassenen Satzung zuwiderhandelt, soweit die Satzung für einen bestimmten Tatbestand auf diese Bußgeldvorschrift verweist,</w:t>
      </w:r>
    </w:p>
    <w:p>
      <w:r>
        <w:t xml:space="preserve">6. die in § 23 Abs. 2 Satz 1 bezeichneten Handlungen ohne Befreiung vornimmt.</w:t>
      </w:r>
    </w:p>
    <w:p>
      <w:r>
        <w:t xml:space="preserve">(2) Die Ordnungswidrigkeit kann mit einer Geldbuße bis zu 125 000 EUR, in besonders schweren Fällen bis zu 500 000 EUR geahndet werden.</w:t>
      </w:r>
    </w:p>
    <w:p>
      <w:r>
        <w:t xml:space="preserve">(3) Gegenstände, auf die sich eine Ordnungswidrigkeit nach Absatz 1 Nr. 1 und 3 bis 6 bezieht, können eingezogen werden.</w:t>
      </w:r>
    </w:p>
    <w:p>
      <w:r>
        <w:t xml:space="preserve">(4) Die Verfolgung der Ordnungswidrigkeit verjährt in fünf Jahren.</w:t>
      </w:r>
    </w:p>
    <w:p>
      <w:r>
        <w:t xml:space="preserve">(5) Verwaltungsbehörde im Sinne von § 36 Abs. 1 Nr. 1 des Gesetzes über Ordnungswidrigkeiten ist die untere Denkmalschutzbehörde.</w:t>
      </w:r>
    </w:p>
    <w:p>
      <w:r>
        <w:rPr>
          <w:color w:val="555555"/>
          <w:sz w:val="17"/>
        </w:rPr>
        <w:t xml:space="preserve">Zitiervorschlag: § 36 SächsDSchG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https://recht.nulegal.eu/gesetze/S%C3%A4chsDSchG/36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36 SächsDSchG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