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SächsDSchG (Sachsen) — Enteignungsbehörde und Enteignungsantrag</w:t>
      </w:r>
    </w:p>
    <w:p>
      <w:r>
        <w:rPr>
          <w:color w:val="555555"/>
          <w:sz w:val="18"/>
        </w:rPr>
        <w:t xml:space="preserve">Sächsisches Denkmalschutzgesetz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Enteignung wird von der oberen Denkmalschutzbehörde (Enteignungsbehörde) durchgeführt. Bei ihr ist der Enteignungsantrag zu stellen.</w:t>
      </w:r>
    </w:p>
    <w:p>
      <w:r>
        <w:rPr>
          <w:color w:val="555555"/>
          <w:sz w:val="17"/>
        </w:rPr>
        <w:t xml:space="preserve">Zitiervorschlag: § 32 SächsDSchG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https://recht.nulegal.eu/gesetze/S%C3%A4chsDSchG/32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