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 SächsDSchG (Sachsen) — Bemessung der Entschädigung</w:t>
      </w:r>
    </w:p>
    <w:p>
      <w:r>
        <w:rPr>
          <w:color w:val="555555"/>
          <w:sz w:val="18"/>
        </w:rPr>
        <w:t xml:space="preserve">Sächsisches Denkmalschutzgesetz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Entschädigung ist unter gerechter Abwägung der Interessen der Allgemeinheit und der Beteiligten zu bemessen.</w:t>
      </w:r>
    </w:p>
    <w:p>
      <w:r>
        <w:t xml:space="preserve">(2) Bei der Entschädigung für den Rechtsverlust ist der Verkehrswert zu berücksichtigen. Ein Preis, der mit Rücksicht auf ungewöhnliche oder persönliche Verhältnisse zu erzielen wäre, bleibt außer Betracht.</w:t>
      </w:r>
    </w:p>
    <w:p>
      <w:r>
        <w:t xml:space="preserve">(3) Für Vermögensnachteile, die nicht schon durch die Entschädigung nach Absatz 2 abgegolten sind, ist eine angemessene Entschädigung zu leisten, die nicht über den Betrag hinausgehen darf, der erforderlich ist, um die infolge der Enteignung eintretenden Vermögensnachteile abwenden zu können.</w:t>
      </w:r>
    </w:p>
    <w:p>
      <w:r>
        <w:rPr>
          <w:color w:val="555555"/>
          <w:sz w:val="17"/>
        </w:rPr>
        <w:t xml:space="preserve">Zitiervorschlag: § 31 SächsDSchG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https://recht.nulegal.eu/gesetze/S%C3%A4chsDSchG/31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 SächsDSchG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