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SächsDSchG (Sachsen) — Grabungsschutzgebiete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untere Denkmalschutzbehörde wird ermächtigt, Gebiete, die begründeter Vermutung nach Kulturdenkmale von besonderer Bedeutung bergen, durch Rechtsverordnung zu Grabungsschutzgebieten zu erklären. § 21 Abs. 3 findet entsprechend Anwendung.</w:t>
      </w:r>
    </w:p>
    <w:p>
      <w:r>
        <w:t xml:space="preserve">(2) In Grabungsschutzgebieten dürfen Nachforschungen und Arbeiten, durch die verborgene Kulturdenkmale zutage gefördert oder gefährdet werden können, nur mit Genehmigung der Denkmalschutzbehörde vorgenommen werden. § 13 Abs. 1 Satz 1 und Abs. 2 bis 5 und § 21 Abs. 2 Satz1 gelten entsprechend.</w:t>
      </w:r>
    </w:p>
    <w:p>
      <w:r>
        <w:rPr>
          <w:color w:val="555555"/>
          <w:sz w:val="17"/>
        </w:rPr>
        <w:t xml:space="preserve">Zitiervorschlag: § 22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