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SächsDSchG (Sachsen) — Anzeigepflichten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Eigentümer und Besitzer haben</w:t>
      </w:r>
    </w:p>
    <w:p>
      <w:r>
        <w:t xml:space="preserve">1. Änderungen der bisherigen Nutzung von Kulturdenkmalen,</w:t>
      </w:r>
    </w:p>
    <w:p>
      <w:r>
        <w:t xml:space="preserve">2. Schäden und Mängel, die an Kulturdenkmalen auftreten und die ihre Erhaltung gefährden können, unverzüglich einer Denkmalschutzbehörde anzuzeigen.</w:t>
      </w:r>
    </w:p>
    <w:p>
      <w:r>
        <w:t xml:space="preserve">(2) Wird ein Kulturdenkmal veräußert, so haben der Veräußerer und der Erwerber den Eigentumswechsel innerhalb eines Monats einer Denkmalschutzbehörde anzuzeigen.</w:t>
      </w:r>
    </w:p>
    <w:p>
      <w:r>
        <w:t xml:space="preserve">(3) Die Anzeigen nach Absätzen 1 und 2 sind unverzüglich an die zuständige Fachbehörde weiterzuleiten.</w:t>
      </w:r>
    </w:p>
    <w:p>
      <w:r>
        <w:rPr>
          <w:color w:val="555555"/>
          <w:sz w:val="17"/>
        </w:rPr>
        <w:t xml:space="preserve">Zitiervorschlag: § 16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