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13 SächsDSchG (Sachsen) — Genehmigungsverfahren</w:t>
      </w:r>
    </w:p>
    <w:p>
      <w:r>
        <w:rPr>
          <w:color w:val="555555"/>
          <w:sz w:val="18"/>
        </w:rPr>
        <w:t xml:space="preserve">Sächsisches Denkmalschutzgesetz</w:t>
      </w:r>
    </w:p>
    <w:p>
      <w:r>
        <w:rPr>
          <w:color w:val="555555"/>
          <w:sz w:val="18"/>
        </w:rPr>
        <w:t xml:space="preserve">Landesrecht Sachsen</w:t>
      </w:r>
    </w:p>
    <w:p>
      <w:r>
        <w:rPr>
          <w:color w:val="555555"/>
          <w:sz w:val="18"/>
        </w:rPr>
        <w:t xml:space="preserve">Stand: 26.08.2026 (konsolidierte Textfassung, kein amtliches Inkrafttretensdatum)</w:t>
      </w:r>
    </w:p>
    <w:p>
      <w:r>
        <w:t xml:space="preserve">(1) Der Genehmigungsantrag ist schriftlich bei der zuständigen Denkmalschutzbehörde (§ 4) einzureichen. Bei Vorhaben nach § 12 Abs. 3 gilt der Genehmigungsantrag als mit dem Antrag auf Baugenehmigung oder bauordnungsrechtliche Zustimmung gestellt.</w:t>
      </w:r>
    </w:p>
    <w:p>
      <w:r>
        <w:t xml:space="preserve">(2) Mit dem Genehmigungsantrag sind alle für die Beurteilung des Vorhabens und die Bearbeitung des Antrags erforderlichen Unterlagen, insbesondere Pläne, Dokumentationen, Fotografien, Gutachten, Kosten- und Wirtschaftlichkeitsberechnungen, einzureichen. Die Denkmalschutzbehörde kann im Einzelfall die erforderlichen Unterlagen anfordern und verlangen, dass der Genehmigungsantrag durch vorbereitende Untersuchungen ergänzt wird.</w:t>
      </w:r>
    </w:p>
    <w:p>
      <w:r>
        <w:t xml:space="preserve">(3) Bei Kulturdenkmalen im Sinne von § 2 Abs. 5 Buchst. a bis c, f und g, soweit es sich um unbewegliche Kulturdenkmale handelt, ist insbesondere die zuständige Naturschutzbehörde rechtzeitig zu beteiligen.</w:t>
      </w:r>
    </w:p>
    <w:p>
      <w:r>
        <w:t xml:space="preserve">(4) Entscheidet die zuständige Denkmalschutzbehörde nicht innerhalb von zwei Monaten nach Eingang des Antrags über die Genehmigung, so gilt diese als erteilt, wenn nicht die zuständige Behörde die Entscheidung über einen Genehmigungsantrag unter Berücksichtigung der berechtigten Interessen des Antragsstellers aussetzt. Eine Aussetzung kann höchstens auf zwei Jahre festgesetzt werden, soweit dies zur Klärung der Belange des Denkmalschutzes, insbesondere für vorbereitende Untersuchungen erforderlich ist.</w:t>
      </w:r>
    </w:p>
    <w:p>
      <w:r>
        <w:t xml:space="preserve">(5) Die Genehmigung erlischt, wenn nicht innerhalb von drei Jahren nach ihrer Erteilung mit der Ausführung begonnen oder die Ausführung länger als zwei Jahre unterbrochen worden ist. Die Fristen nach Satz 1 können auf schriftlichen Antrag jeweils um bis zu zwei Jahre verlängert werden.</w:t>
      </w:r>
    </w:p>
    <w:p>
      <w:r>
        <w:rPr>
          <w:color w:val="555555"/>
          <w:sz w:val="17"/>
        </w:rPr>
        <w:t xml:space="preserve">Zitiervorschlag: § 13 SächsDSchG (Sachsen)</w:t>
      </w:r>
    </w:p>
    <w:p>
      <w:r>
        <w:rPr>
          <w:color w:val="555555"/>
          <w:sz w:val="17"/>
        </w:rPr>
        <w:t xml:space="preserve">Quelle: revosax, abgerufen 26.08.2026</w:t>
      </w:r>
    </w:p>
    <w:p>
      <w:r>
        <w:rPr>
          <w:color w:val="555555"/>
          <w:sz w:val="17"/>
        </w:rPr>
        <w:t xml:space="preserve">Nicht-amtliche Lesefassung — verbindlich ist das Sächsische Gesetz- und Verordnungsblatt (Sächsische Staatskanzlei: https://www.sk.sachsen.de)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https://recht.nulegal.eu/gesetze/S%C3%A4chsDSchG/13</w:t>
      </w:r>
    </w:p>
    <w:p>
      <w:r>
        <w:rPr>
          <w:color w:val="767676"/>
          <w:sz w:val="15"/>
        </w:rPr>
        <w:t xml:space="preserve">nu:legal · recht.nulegal.eu · Nicht-amtliche Lesefassung. Amtliche Fassung: sk.sachsen.de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