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SächsDSchG (Sachsen) — Genehmigungspflichtige und anzeigepflichtige Vorhaben an Kulturdenkmalen</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Kulturdenkmal darf nur mit Genehmigung der Denkmalschutzbehörde</w:t>
      </w:r>
    </w:p>
    <w:p>
      <w:r>
        <w:t xml:space="preserve">1. wiederhergestellt oder instand gesetzt werden,</w:t>
      </w:r>
    </w:p>
    <w:p>
      <w:r>
        <w:t xml:space="preserve">2. in seinem Erscheinungsbild oder seiner Substanz verändert oder beeinträchtigt werden,</w:t>
      </w:r>
    </w:p>
    <w:p>
      <w:r>
        <w:t xml:space="preserve">3. mit An- und Aufbauten, Aufschriften oder Werbeeinrichtungen versehen werden,</w:t>
      </w:r>
    </w:p>
    <w:p>
      <w:r>
        <w:t xml:space="preserve">4. aus einer Umgebung entfernt werden,</w:t>
      </w:r>
    </w:p>
    <w:p>
      <w:r>
        <w:t xml:space="preserve">5. zerstört oder beseitigt werden.</w:t>
      </w:r>
    </w:p>
    <w:p>
      <w:r>
        <w:t xml:space="preserve">Abweichend von Satz 1 Nr. 1 und 2 sind der Denkmalschutzbehörde die Wiederherstellung oder Instandsetzung von Kulturdenkmalen, die aufgrund außergewöhnlicher Ereignisse mit überörtlicher Wirkung, insbesondere Naturkatastrophen, zerstört oder beschädigt wurden, sowie geringfügige Vorhaben schriftlich anzuzeigen. Ausgenommen von Satz 2 sind Kulturdenkmale im Sinne des § 2 Abs. 5 Buchst. g. Ein geringfügiges Vorhaben an einem Kulturdenkmal ist die Beseitigung von Schäden und Mängeln an einzelnen Teilen des Kulturdenkmales zur Herstellung eines denkmalverträglichen Zustandes; es umfasst insbesondere die Ausbesserung von Bauteilen nach Schädigung oder üblicher Abnutzung. Die Denkmalschutzbehörde hat den Eingang der Anzeige unverzüglich schriftlich zu bestätigen. Mit der Durchführung der Maßnahme nach Satz 2 kann begonnen werden, wenn die Denkmalschutzbehörde nicht innerhalb von drei Wochen nach Eingang der Anzeige bei der Denkmalschutzbehörde schriftlich gegenüber dem Anzeigenden erklärt, dass ein Genehmigungsverfahren durchzuführen ist. Die Entscheidung, ob die Anzeige genügt oder ein Genehmigungsverfahren durchzuführen ist, obliegt der Denkmalschutzbehörde.</w:t>
      </w:r>
    </w:p>
    <w:p>
      <w:r>
        <w:t xml:space="preserve">(2) Bauliche oder garten- und landschaftsgestalterische Anlagen in der Umgebung eines Kulturdenkmals, soweit sie für dessen Erscheinungsbild von erheblicher Bedeutung sind, dürfen nur mit Genehmigung der Denkmalschutzbehörde errichtet, verändert oder beseitigt werden. Andere Vorhaben in der Umgebung eines Kulturdenkmals bedürfen dieser Genehmigung, wenn sich die bisherige Grundstücksnutzung ändern würde. Die Genehmigung ist zu erteilen, wenn das Vorhaben das Erscheinungsbild des Kulturdenkmals nur unerheblich oder nur vorübergehend beeinträchtigen würde oder wenn überwiegende Gründe des Gemeinwohls Berücksichtigung verlangen.</w:t>
      </w:r>
    </w:p>
    <w:p>
      <w:r>
        <w:t xml:space="preserve">(2a) Die Genehmigung nach Absatz 1 Satz 1 oder Absatz 2 Satz 1 und 2 soll erteilt werden, wenn es sich um eine Maßnahme des öffentlichen Hochwasserschutzes handelt, für die überwiegende Gründe des Gemeinwohls vorliegen, und die Erhaltung von für das kulturelle Erbe bedeutenden Kulturdenkmalen nicht gefährdet wird.</w:t>
      </w:r>
    </w:p>
    <w:p>
      <w:r>
        <w:t xml:space="preserve">(3) Bedarf ein Vorhaben der Baugenehmigung oder bauordnungsrechtlichen Zustimmung, tritt an die Stelle der Genehmigung nach diesem Gesetz die Zustimmung der Denkmalschutzbehörde gegenüber der Bauaufsichtsbehörde.</w:t>
      </w:r>
    </w:p>
    <w:p>
      <w:r>
        <w:rPr>
          <w:color w:val="555555"/>
          <w:sz w:val="17"/>
        </w:rPr>
        <w:t xml:space="preserve">Zitiervorschlag: § 12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SächsDSchG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